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bCs/>
          <w:sz w:val="32"/>
          <w:szCs w:val="32"/>
        </w:rPr>
        <w:t>附录</w:t>
      </w: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国家安全教育知识要点</w:t>
      </w: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spacing w:line="320" w:lineRule="exact"/>
        <w:jc w:val="center"/>
        <w:rPr>
          <w:rFonts w:ascii="黑体" w:hAnsi="黑体" w:eastAsia="黑体"/>
          <w:b/>
          <w:kern w:val="0"/>
          <w:sz w:val="36"/>
          <w:szCs w:val="28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0"/>
        <w:gridCol w:w="570"/>
        <w:gridCol w:w="180"/>
        <w:gridCol w:w="2955"/>
        <w:gridCol w:w="67"/>
        <w:gridCol w:w="4586"/>
        <w:gridCol w:w="12"/>
        <w:gridCol w:w="1379"/>
        <w:gridCol w:w="1343"/>
        <w:gridCol w:w="204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总体国家安全观总论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总体国家安全观总论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国家安全的重要性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直接关乎国家主权独立和领土完整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  <w:r>
              <w:rPr>
                <w:rStyle w:val="15"/>
                <w:rFonts w:hint="eastAsia" w:ascii="宋体" w:hAnsi="宋体" w:eastAsia="宋体" w:cs="Times New Roman"/>
                <w:kern w:val="0"/>
                <w:sz w:val="20"/>
                <w:szCs w:val="21"/>
              </w:rPr>
              <w:footnoteReference w:id="0"/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  <w:r>
              <w:rPr>
                <w:rStyle w:val="15"/>
                <w:rFonts w:hint="eastAsia" w:ascii="宋体" w:hAnsi="宋体" w:eastAsia="宋体" w:cs="Times New Roman"/>
                <w:kern w:val="0"/>
                <w:sz w:val="20"/>
                <w:szCs w:val="21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人民安居乐业、幸福生活的保障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社会稳定、长治久安的基石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实现中华民族伟大复兴中国梦的重要前提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历史、语文、地理、科学、信息科技、信息技术</w:t>
            </w:r>
            <w:r>
              <w:rPr>
                <w:rStyle w:val="15"/>
                <w:rFonts w:hint="eastAsia" w:ascii="宋体" w:hAnsi="宋体" w:eastAsia="宋体" w:cs="Times New Roman"/>
                <w:kern w:val="0"/>
                <w:sz w:val="20"/>
                <w:szCs w:val="21"/>
              </w:rPr>
              <w:footnote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总体国家安全观内涵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总体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国家安全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观是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习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近平新时代中国特色社会主义思想的重要组成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部分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；国家安全内涵十分丰富，涵盖领域广泛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涉及政治安全、国土安全、军事安全、经济安全、文化安全、社会安全、科技安全、网络安全、生态安全、资源安全、核安全、海外利益安全等领域，以及新型领域安全（深海、极地、太空、生物等）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各领域安全相互关联、相互支撑，是有机整体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五大要素：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以人民安全为宗旨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以政治安全为根本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以经济安全为基础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以军事、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文化、社会安全为保障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以促进国际安全为依托</w:t>
            </w:r>
          </w:p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五对关系：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既重视发展问题，又重视安全问题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既重视外部安全，又重视内部安全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既重视国土安全，又重视国民安全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既重视传统安全，又重视非传统安全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既重视自身安全，又重视共同安全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落实总体国家安全观是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每个公民的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法定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义务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党的集中统一领导、人民安全为宗旨、国家利益至上、坚持共同安全；加强国家安全人民防线建设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总体国家安全观的重大意义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构建了国家安全的中国话语体系，重塑了中国国家安全体制机制，指明了中国特色国家安全道路方向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政治安全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政治安全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政治安全的重要性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攸关党和国家安危，是国家安全的根本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是维护人民安全和国家利益的根本保证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是坚持和发展中国特色社会主义的根本前提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政治安全的主要内容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政权安全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坚持党的集中统一领导、人民当家作主、全面依法治国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制度安全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中国特色社会主义制度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意识形态安全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坚持马克思主义在意识形态领域的指导地位，坚持学习贯彻习近平新时代中国特色社会主义思想，坚持社会主义核心价值观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政治安全面临的威胁与挑战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反华敌对势力对我国开展西方意识形态渗透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国际反华敌对势力对我国发展道路、社会制度等歪曲诬蔑、遏制打压加剧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政治认同与政治信仰弱化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民族分裂势力和宗教极端势力的分裂、极端活动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党内“四风”等腐败现象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社会矛盾交织、演变、传导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维护政治安全途径与方法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加强党的自身建设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坚持和加强党的领导，做到“两个维护”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全面从严治党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坚定理想信念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强化意识形态工作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坚持“两个巩固”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加强理想信念教育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深化中国特色社会主义和中国梦宣传教育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坚决抵御“颜色革命”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抵御、依法打击敌对势力渗透颠覆破坏活动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充分利用抗疫等事例加强“四个自信”教育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注重群众路线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国土安全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国土安全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国土安全的重要性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国家生存和发展的基本条件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国土安全与其他领域的安全息息相关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人民幸福生活的基础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国土安全的主要内容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基本内涵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领土主权不受侵犯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领土完整不被分裂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涵盖领土、领海、领空以及自然资源、基础设施等要素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领土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领土的概念与要素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领水、领陆和领空的关系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领海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领海的概念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我国的领海范围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领空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领空的概念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我国的领空范围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临近空间的概念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国土安全面临的威胁与挑战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国土边境、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海洋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安全面临问题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与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围绕领土边界挑起事端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在南海、东海多方与我国争夺岛礁主权和海洋权益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反分裂斗争形势依然严峻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反分裂斗争的长期性、复杂性、尖锐性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“台独” “藏独”“东突”“港独”等分裂活动构成威胁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国土安全面临严峻的国际舆论环境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西方国家频频制造不实的国际舆论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部分周边国家制造舆情激化矛盾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维护国土安全的途径与方法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完善国土安全法律和教育体系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完善维护国土安全的法律法规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加强国家版图和国土主权的宣传教育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坚持兴边富民，强边、固边、稳边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推进兴边富民工程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巩固边境安全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坚持陆海统筹，建设海洋强国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坚持陆海统筹发展，推进共建“一带一路”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推进海洋强国战略实施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加强国防和外交能力建设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加强国防建设捍卫国土安全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地理、科学、历史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加强外交工作塑造良好外部环境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增强国土安全的国际话语权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增强国土安全对外法律斗争能力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军事安全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军事安全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军事安全的重要性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军事手段始终是维护国家安全的保底手段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军事安全是建设巩固国防的重要前提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军事安全的主要内容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 w:cstheme="minorBidi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theme="minorBidi"/>
                <w:kern w:val="0"/>
                <w:sz w:val="20"/>
                <w:szCs w:val="21"/>
              </w:rPr>
              <w:t>军事与国防的关系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军事安全的概念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国防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安全的概念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战争与战略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战争内涵与战争样式的变化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战略思想的历史演进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力量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组成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国家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武装力量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的组成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中国人民解放军现役部队组成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领导体制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坚持党指挥枪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军事科技与武器装备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军事科技分类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高技术武器装备类别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军事秘密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军事秘密的等级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军事秘密的范围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军事外交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军事外交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的形式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军事外交的特点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军事安全面临的威胁与挑战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世界新军事革命深入发展带来新挑战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战争形态和作战样式发生新的变化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军事战略、作战思想和军事力量建设面临新的环境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太空、网络、人工智能等新型安全领域的斗争日趋尖锐复杂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军事秘密泄密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境外人员渗透窃密不容乐观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境内人员失泄密面临新的挑战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网络军事窃密不容忽视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缺乏忧患意识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军队存在和平积弊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国民战争忧患意识淡薄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维护军事安全的途径与方法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加强领导指挥体制与力量建设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新一轮军队改革的总体布局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军委管总、战区主战、军种主建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重塑各军兵种作战力量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贯彻强军思想创新军事战略指导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党在新时代的强军目标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坚持“四军方略”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积极防御的战略思想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新时代军事战略指导方针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应对新型安全领域威胁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坚持军民融合发展战略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 w:cstheme="minorBidi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theme="minorBidi"/>
                <w:kern w:val="0"/>
                <w:sz w:val="20"/>
                <w:szCs w:val="21"/>
              </w:rPr>
              <w:t>加强军事保密教育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宣传普及军事保密法律法规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 w:cstheme="minorBidi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加强军事秘密泄密警示教育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拓展军事外交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丰富军事外交内涵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配合国家外交斗争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加强外交主动预置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经济安全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restart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经济安全</w:t>
            </w:r>
          </w:p>
        </w:tc>
        <w:tc>
          <w:tcPr>
            <w:tcW w:w="770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经济安全的重要性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国家安全重要基础和组成部分</w:t>
            </w:r>
          </w:p>
        </w:tc>
        <w:tc>
          <w:tcPr>
            <w:tcW w:w="4665" w:type="dxa"/>
            <w:gridSpan w:val="3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实现人民安全宗旨的重要基础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实现政治安全的重要基础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实现军事、文化、社会安全的重要基础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实现国际安全的重要基础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经济安全的主要内容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基本经济制度安全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bookmarkStart w:id="0" w:name="_Hlk27825819"/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公有制为主体，多种所有制经济共同发展</w:t>
            </w:r>
            <w:bookmarkEnd w:id="0"/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按劳分配为主体，多种分配方式并存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社会主义市场经济体制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经济秩序安全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生产领域秩序安全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流通领域秩序安全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其他重点经济领域秩序安全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经济主权安全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对内克服地方保护主义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对外抵御外来经济威胁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经济发展安全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存在发生经济危机的风险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防范化解经济危机风险的能力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经济安全面临的威胁与挑战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国际经济金融动荡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国际金融危机持续影响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世界贸易战的发展演变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经济霸权主义和霸凌主义加剧国际经济金融动荡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国际经济秩序面临变革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要求变革国际经济旧秩序的呼声不断高涨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“一带一路”倡议为全球经济治理拓展了新实践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主要经济领域安全存在风险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金融安全存在风险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财政安全存在风险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产业安全（含粮食安全）存在风险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经济发展存在滑坡风险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重要经济信息存在泄露风险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走私活动引发的风险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3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维护经济安全的途径与方法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实现基本经济制度安全的途径与方法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坚持以公有制经济为主体不动摇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坚持多种所有制经济共同发展不动摇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实现经济秩序安全的途径与方法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健全和完善经济领域秩序安全的法律法规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制止和打击破坏经济领域秩序安全的行为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实现经济主权安全的途径与方法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维护经济方针政策自主制定的权利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维护有效掌握自己重要资源的权利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维护有效掌握自己战略产业的权利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维护参与重要国际经济组织的权利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维护自由利用国际市场的权利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实现经济发展安全的途径与方法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坚持新发展理念，促进高质量发展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深化供给侧结构性改革，防范、化解经济领域安全风险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创新和完善宏观调控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加强经济领域的保密管理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坚持打击走私活动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文化安全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文化安全的重要性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文化是国家和民族的灵魂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安全是国家安全的重要保障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建设社会主义文化强国的重要基础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文化安全是国家安全的关键精神保证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国际博弈的重要领域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文化安全的主要内容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国家文化主权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独立自主选择文化制度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独立自主选择文化发展道路和政策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防止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“全盘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西化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”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保障文化权益和推动文化发展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文化价值观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文化自信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文化认同（认同“三种文化”）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中华优秀传统文化、革命文化、社会主义先进文化（“三种文化”）安全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“三种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”创新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发展，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不能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固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化僵化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文化遗产（语言、风俗习惯、传统节日、文物）保护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思政、科学、物理、地理、历史、体育与健康、艺术（音乐、美术）、外语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文化生态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语文、思政、历史、艺术（音乐、美术）、物理、科学、外语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文化安全面临的威胁与挑战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西方文化和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西方意识形态侵蚀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历史、语文、信息科技、信息技术、外语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消极娱乐、享乐和消费文化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恶意解构文化传统与文化符号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文化自信和文化向心力缺失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文化民粹主义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不良网络文化威胁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信息科技、信息技术、思政、艺术（音乐、美术）、外语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维护文化安全的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途径与方法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加强文化认同教育</w:t>
            </w:r>
          </w:p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（“</w:t>
            </w: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三种</w:t>
            </w:r>
            <w:r>
              <w:rPr>
                <w:rFonts w:ascii="楷体" w:hAnsi="楷体" w:eastAsia="楷体" w:cs="Arial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”</w:t>
            </w:r>
            <w:r>
              <w:rPr>
                <w:rFonts w:ascii="楷体" w:hAnsi="楷体" w:eastAsia="楷体" w:cs="Arial"/>
                <w:kern w:val="0"/>
                <w:sz w:val="20"/>
                <w:szCs w:val="21"/>
              </w:rPr>
              <w:t>教育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4665" w:type="dxa"/>
            <w:gridSpan w:val="3"/>
          </w:tcPr>
          <w:p>
            <w:pPr>
              <w:pStyle w:val="19"/>
              <w:ind w:firstLine="0" w:firstLineChars="0"/>
              <w:rPr>
                <w:rFonts w:ascii="楷体" w:hAnsi="楷体" w:eastAsia="楷体" w:cs="Arial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热爱中华优秀文化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增进文化自信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文化自觉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文化自强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坚持党对文化领导，培育和践行社会主义核心价值观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坚持党对文化建设的领导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培育社会主义核心价值观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践行社会主义核心价值观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加强文化遗产保护与利用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保护好文化遗产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传承好文化遗产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利用好文化遗产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思政、语文、历史、艺术（音乐、美术）、科学、外语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推进文化创新体系与文化安全防线建设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健全文化产业体系、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文化市场体系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及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促进公共文化服务体系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地理、语文、体育与健康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构筑文化安全阵地防线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加强文化安全国门把关和防控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地理、信息科技、信息技术、外语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营造文化安全国际环境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积极主动加强国际文化合作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提高文化软实力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社会安全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4" w:hRule="atLeast"/>
        </w:trPr>
        <w:tc>
          <w:tcPr>
            <w:tcW w:w="497" w:type="dxa"/>
            <w:vMerge w:val="restart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社会安全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社会安全的重要性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国家安全的重要保障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社会和谐稳定的基础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社会安全提升人民群众的幸福感和满意度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社会安全的主要内容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社会治安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暴力性、侵财性犯罪：敲诈勒索、盗窃、抢劫、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拐卖人口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网络犯罪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毒品犯罪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有组织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犯罪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社会安全事件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重大自然灾害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体育与健康、科学、物理、化学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重大事故灾难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体育与健康、科学、物理、化学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重大公共卫生事件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生物学、思政、体育与健康、化学、外语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暴力恐怖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活动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社会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群体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性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社会舆情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舆情传播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传统媒体和新媒体影响力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信息科技、信息技术、语文、历史、外语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社会舆情监督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社会安全面临的威胁与挑战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社会群体性事件时发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非正当维权事件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泄愤事件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骚乱事件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暴力恐怖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活动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事件时发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内部反动势力事件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外部敌对势力事件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境外势力渗透破坏日益严重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非法宗教渗透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互联网煽动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信息科技、信息技术、语文、外语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文化渗透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新型违法犯罪方式多样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电信诈骗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网络诈骗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社会舆情复杂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舆情炒作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同情效应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谣言冲击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维护社会安全途径与方法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健全社会安全法制体制机制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维护社会安全的原则、任务、方式与手段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提升应对社会安全事件能力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加强专业队伍建设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加强基层群众动员组织能力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加强自然灾害、重大疫情等社会安全事件应对能力教育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体育与健康、思政、地理、生物学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预防和妥善处置群体性事件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建立社会安全预警体系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加强反暴力反恐怖斗争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加强反恐专业队伍建设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加强暴力事件防控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加强跨境防控合作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加强社会舆情引导管控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掌握舆情传播动态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监控舆情传播途径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防范外来有害因素侵入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建立信息防控机制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依法加强海关把控、边境安全和出入境管理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科技安全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科技安全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科技安全的重要性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国家安全的重要标志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科学、物理、化学、生物学、信息科技、信息技术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维护国家利益的基础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科学、物理、化学、生物学、信息科技、信息技术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提升国家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实力的前提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科学、物理、化学、生物学、历史、信息科技、信息技术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保障其他领域安全的技术支撑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科技安全的主要内容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科技人才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  <w:t>培养各类科技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  <w:t>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  <w:t>海外引进人才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设施设备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  <w:t>研究装置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  <w:t>实验平台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  <w:t>创新基地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科技活动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b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  <w:t>科技情报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研究开发活动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国际科技合作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科研诚信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科技伦理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科学数据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知识产权保护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科技保密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技术进出口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科技安全审查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成果应用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  <w:t>支撑保障作用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b/>
                <w:kern w:val="0"/>
                <w:sz w:val="20"/>
                <w:szCs w:val="21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防范技术“双刃剑”效应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科技安全面临的威胁与挑战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科技基础薄弱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基础研究和原始创新不强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缺乏足够的新兴科技产业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核心技术安全受威胁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重大科技信息风险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知识产权保护和科技保密工作有待加强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科学数据和科技资源存在失控风险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科技安全风险防范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预警、监督和管理体制处于起步阶段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识别、防控和应对科技安全问题的能力不足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人才风险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人才结构不合理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缺乏领军人才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高端人才流失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维护科技安全途径与方法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落实战略规划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统筹国家安全与发展，完善国家创新体系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完善科技创新体制机制，促进技术创新和成果转化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加强科技安全基础设施建设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突破重点领域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加强前沿问题探索，注重原创突破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突破关键技术，扭转受制于人的局面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加强科技人才队伍建设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造就世界水平的创新领军人才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注重培养中青年科技人才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加大人才奖励制度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加强科技安全治理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建立完善科技安全预警体系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完善科技安全保密法律法规，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重视知识产权的保护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加强科技安全宣传和教育培训，提升应对科技安全问题能力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建立完善科技安全审查制度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加强科学伦理审查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网络安全</w:t>
            </w:r>
          </w:p>
        </w:tc>
        <w:tc>
          <w:tcPr>
            <w:tcW w:w="750" w:type="dxa"/>
            <w:gridSpan w:val="2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网络安全的重要性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事关国家安全和发展、事关国家网络主权、事关广大人民群众生活、事关经济社会稳定运行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网络安全的主要内容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基础设施安全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关键设施、设备安全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运行与服务安全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防攻击、防渗透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信息系统连续可靠运行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网络软件产品安全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数据传输安全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网络信息加密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有害信息监察监管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防范网络诈骗、网络暴力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网络安全面临的威胁与挑战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网络信息影响民众意识形态和价值取向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不良不实网络信息误导民众价值取向风险凸显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网络意识形态安全问题凸显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民众网络安全意识薄弱，应对网络安全风险能力亟待提升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网络舆情事件呈现高发态势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关键基础设施面临的安全隐患增大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关键基础设施的低国产化和产品应用现状加大了隐患风险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针对国家关键信息基础设施攻击的威胁增大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网络犯罪呈现高发态势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网络违法犯罪造成重大危害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网络窃密高发、后果严重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维护网络安全途径与方法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依法治网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全面推进网络空间法治化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加强网络安全信息收集、分析、通报和应急处置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建立监测预警与应急处置制度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建立网络安全审查制度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采取监测、记录网络运行状态和网络安全事件的技术措施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采取数据分类、重要数据备份和加密等措施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技术支持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技术创新，确保安全技术领先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加强保护国家关键信息基础设施的安全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宣传培训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建立维护国家网络主权的思维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加强社会网络安全意识的教育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国际合作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网络空间治理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网络技术研发和标准制定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打击网络违法犯罪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生态安全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生态安全的重要性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生存发展的基本条件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经济安全的基本保障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政治安全和社会稳定的坚固基石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国土安全的重要屏障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资源安全的重要基础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生态安全的主要内容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水量保障的安全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水质安全与水污染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土地生态安全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土壤污染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土壤功能破坏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大气安全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大气污染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气候变化威胁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生物物种安全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生物多样性丧失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生物入侵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生态服务功能退化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生态安全面临的威胁与挑战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生态破坏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水资源短缺对生产、生活及地区安全的影响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水土流失对农业和水利工程的影响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森林草原退化导致生态系统功能的紊乱、失调和衰退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生物多样性丧失对生存环境的影响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气候变化威胁人类生存发展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生物入侵威胁生物多样性和生产生活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环境污染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地表水、地下水污染威胁生产生活和生态系统健康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土地土壤污染威胁生产生活和生态系统健康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空气污染威胁公众健康、生态环境和农业生产力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维护生态安全途径与方法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健全生态保护和修复制度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实施重要生态系统保护和修复重大工程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划定生态保护红线、永久基本农田、城镇开发边界三条控制线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开展国土绿化行动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完善天然林保护制度，扩大退耕还林还草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保护野生动物和濒危植物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构建天地一体化的生态安全监测预警和评估体系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完善相关法律法规和财税制度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加强生态安全国际合作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科学、思政、外语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环境治理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大气污染防治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化学、物理、地理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水污染防治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土壤污染防治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荒漠化的防治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水土流失防治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强化国门安全管理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建立外来有害生物，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重大新发突发传染病、动植物疫情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防控体系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禁止濒危动植物及产品贸易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资源安全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资源安全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资源安全的重要性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国家战略命脉、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国家产业发展基础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国民经济主要支撑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社会稳定的基础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经济安全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和社会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安全的依托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科技安全的有效载体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资源安全的主要内容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可再生资源安全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水资源保护和开发利用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土地资源保护和开发利用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海洋资源保护和开发利用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可再生能源保护和开发利用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不可再生资源安全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矿产资源保护和开发利用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不可再生能源保护和开发利用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资源安全面临的威胁与挑战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资源供需矛盾形势严峻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资源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开采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和利用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过度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人均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资源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量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少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，地区分布不均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工业生产用地过量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红线保护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形势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严峻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环境污染导致可利用资源减少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资源对外依存度高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能源（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石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油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天然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气）大量依赖进口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矿产资源稀缺程度增高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资源开发利用水平不高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开发技术不高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利用效率偏低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管理水平落后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维护资源安全的途径与方法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推进绿色发展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推进能源生产和消费革命，构建清洁低碳、安全高效的能源体系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实施国家节水行动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推进资源全面节约和循环利用，倡导绿色低碳的生活方式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构建市场导向的绿色技术创新体系和产业发展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支持资源型地区经济转型发展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提高资源开发利用水平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强化资源综合利用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，提高资源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利用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效益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加强再生资源利用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思政、物理、生物学、化学、科学、外语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保护稀有资源供应可持续性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利用好两个市场、两种资源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加大资源勘查力度，增加国内资源储备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有效开发原生资源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加大海外资源投资权益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保护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健全预防预备体系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资源安全法律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法规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统筹国家资源供需战略，建立健全预防预备体系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打击跨境资源走私，维护国家资源利益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核安全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核安全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核安全的重要性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核能与核科学技术发展的前提和基础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事关人民群众的生命和人类的前途命运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核安全的主要内容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核材料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放射性物质、核材料及相关活动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核辐射危害与警示标志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核设施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反应堆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核电厂等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核燃料循环和放射性废物处理贮存处置设施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核技术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核技术分类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核技术应用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核扩散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广义核安全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狭义核安全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核事件分级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国际核事件分级表（INES）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核安全面临的威胁与挑战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核事故风险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和平利用核电存在的泄露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和污染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核废料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处理不当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核扩散形势严峻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不扩散核武器条约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核能核技术核材料扩散流失风险和核恐怖主义威胁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核武器扩散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维护核安全的途径与方法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践行“四个强化”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强化政治投入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强化国家责任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强化国际合作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强化核安全文化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保持核设施始终处于较高安全水平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核安全保障措施和基础设施建设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预防核事故发生的能力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核设施防范和应对自然灾害能力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放射性废物安全处置能力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核设施及核材料的安全保护和防范核恐怖主义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核材料、核技术管控能力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提升应急处置能力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核事故缓解和应急能力建设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核安全应急体系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境外核事件应对机制与预案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核事件社会影响监测和舆情应对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信息公开和舆论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引导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核安全相关信息依法公开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核安全科普与文化建设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科学引导与民众监督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核安全的监督检查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核安全法规建设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核安全监督检查制度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核安全监管能力和人才队伍建设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加强国际合作,维护国际核安全体系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核安全国际组织与国际公约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核安全峰会进程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国际核安全事件应对、援助与信息共享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核安全技术引进和合作开发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海外利益安全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海外利益安全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海外利益安全的重要性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是新一轮对外开放的必然要求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是保护国家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利益、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人民福祉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的重要保障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是统筹国内国际两个大局的时代召唤</w:t>
            </w: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海外利益安全的主要内容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海外中国公民、机构和企业合法权益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海外公民人身安全和基本权益保障、资产安全、投资利益安全保障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海外战略性利益安全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战略物资、能源供应和重要海上通道安全保障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国家形象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国际规则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海外利益安全面临的威胁与挑战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冲突与政局动荡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部分地区局势动荡与内战冲突威胁我国公民和法人在当地利益安全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东道国政局不稳影响双边合作进展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国际恐怖主义活动多发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恐怖主义活动严重威胁我国海外项目和人员安全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重大自然灾害，重大新发突发传染病、动植物疫情等时有发生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地震、海啸等自然灾害，以及重大新发突发传染病疫情对海外中国公民的安全威胁日益凸显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维护海外利益安全途径与方法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健全维护海外利益安全的工作机制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增强海外利益风险监测、评估、预警、沟通及处置能力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加强国家对于海外机构和人员的安全保护力量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构建社会力量和机构广泛参与的维护海外利益的综合性安全网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加强海外安全文明出行的宣传教育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加强维护海外利益安全和保密的宣传教育培训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加强维护海外利益安全的国际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合作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建立常态化国际反恐合作机制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加强国际执法合作打击跨国犯罪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强化海外非战争军事行动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增强军队海外护航、反恐演习、灾害救援等行动能力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新型领域安全</w:t>
            </w: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（太空安全、深海安全、极地安全、生物安全）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新型领域安全</w:t>
            </w: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（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太空安全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深海安全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极地安全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生物安全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新型领域安全的重要性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是战略新疆域安全，涉及潜在的重大国家利益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是未来国际竞争的新焦点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地理、生物学、科学、历史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新型领域安全的主要内容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太空资源的合理开发和利用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太空科学考察与技术研究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太空开发的国际战略竞争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深海安全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深海资源的合理开发和利用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深海区域科学考察与技术研究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极地资源的合理利用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极地区域航道的探索与治理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极地区域科学考察与技术研究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防控重大新发突发传染病、动植物疫情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研究、开发、应用生物技术，保障实验室生物安全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防范生物恐怖袭击、防御生物武器威胁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保障人类遗传资源和其他生物资源安全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新型领域安全面临的威胁与挑战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太空安全面临的威胁与挑战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开发外层空间面临技术挑战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太空开发经营面临安全问题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频轨资源短缺、太空碎片增加阻碍人类活动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深海安全面临的威胁与挑战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开发深海区域面临技术挑战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探索深海面临的未知风险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极地安全面临的威胁与挑战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保护利用极地区域面临技术挑战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探索极地存在的巨大未知危险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生物安全面临的威胁与挑战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重大新发突发传染病、动植物疫情对人类健康的危害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生物因素对生态环境的危害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生物因素对经济社会发展的危害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生物因素对国家利益的危害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维护新型领域安全的途径与方法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推进新型领域安全的顶层设计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建立健全维护和塑造新型领域安全法律法规体系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制定太空、深海、极地、生物等新型领域发展规划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加快新型领域安全的科技创新和人才培养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加快新型领域核心科技创新与研发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加快培养和储备新型领域人才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加快新型领域基础设施设备建设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开展新型领域安全国际合作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推动新型领域国际治理和规则制定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推进新型领域的国际合作，构建互利共赢可持续发展的环境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推动新型领域安全文化建设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sz w:val="44"/>
        </w:rPr>
      </w:pPr>
    </w:p>
    <w:sectPr>
      <w:footerReference r:id="rId5" w:type="default"/>
      <w:footnotePr>
        <w:numFmt w:val="decimalEnclosedCircleChinese"/>
      </w:footnotePr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8A6418-9132-450E-AA07-E30D095AAA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43466F3-9107-4BC0-8968-5721BC9948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DE3E1F-0C65-4818-8F7B-9C51927126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D0B158-F379-47D7-BCDA-8377B378008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B6186C-5A61-45ED-8227-EBCD4B93075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8183867-F78C-4900-B97B-FEC24045F5FF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7" w:fontKey="{B6D3B4F4-7ABE-4979-BEF6-F0B4676C34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7"/>
        <w:rPr>
          <w:rFonts w:ascii="宋体" w:hAnsi="宋体" w:eastAsia="宋体" w:cs="宋体"/>
          <w:sz w:val="20"/>
          <w:szCs w:val="20"/>
        </w:rPr>
      </w:pPr>
      <w:r>
        <w:rPr>
          <w:rStyle w:val="15"/>
          <w:rFonts w:hint="eastAsia" w:ascii="宋体" w:hAnsi="宋体" w:eastAsia="宋体" w:cs="宋体"/>
          <w:sz w:val="20"/>
          <w:szCs w:val="20"/>
        </w:rPr>
        <w:footnoteRef/>
      </w:r>
      <w:r>
        <w:rPr>
          <w:rFonts w:hint="eastAsia" w:ascii="宋体" w:hAnsi="宋体" w:eastAsia="宋体" w:cs="宋体"/>
          <w:sz w:val="20"/>
          <w:szCs w:val="20"/>
        </w:rPr>
        <w:t>思政，指思想政治课，包括义务教育阶段的道德与法治和普通高中、中等职业学校的思想政治。下同。</w:t>
      </w:r>
    </w:p>
  </w:footnote>
  <w:footnote w:id="1">
    <w:p>
      <w:pPr>
        <w:pStyle w:val="7"/>
        <w:rPr>
          <w:rFonts w:ascii="宋体" w:hAnsi="宋体" w:eastAsia="宋体" w:cs="宋体"/>
          <w:sz w:val="20"/>
          <w:szCs w:val="20"/>
        </w:rPr>
      </w:pPr>
      <w:r>
        <w:rPr>
          <w:rStyle w:val="15"/>
        </w:rPr>
        <w:footnoteRef/>
      </w:r>
      <w:r>
        <w:rPr>
          <w:rFonts w:hint="eastAsia" w:ascii="宋体" w:hAnsi="宋体" w:eastAsia="宋体" w:cs="宋体"/>
          <w:sz w:val="20"/>
          <w:szCs w:val="20"/>
        </w:rPr>
        <w:t>科学，小学起点包括小学科学、初中科学（或分科设置的物理、化学、生物学），初中起点包括初中科学（或分科设置的物理、化学、生物学）。下同。</w:t>
      </w:r>
    </w:p>
  </w:footnote>
  <w:footnote w:id="2">
    <w:p>
      <w:pPr>
        <w:pStyle w:val="7"/>
        <w:rPr>
          <w:rFonts w:ascii="宋体" w:hAnsi="宋体" w:eastAsia="宋体" w:cs="宋体"/>
          <w:sz w:val="20"/>
          <w:szCs w:val="20"/>
        </w:rPr>
      </w:pPr>
      <w:r>
        <w:rPr>
          <w:rStyle w:val="15"/>
        </w:rPr>
        <w:footnoteRef/>
      </w:r>
      <w:r>
        <w:rPr>
          <w:rFonts w:hint="eastAsia" w:ascii="宋体" w:hAnsi="宋体" w:eastAsia="宋体" w:cs="宋体"/>
          <w:sz w:val="20"/>
          <w:szCs w:val="20"/>
        </w:rPr>
        <w:t>信息科技、信息技术，指义务教育阶段的信息科技和普通高中、中等职业学校的信息技术。下同。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49"/>
    <w:rsid w:val="00010870"/>
    <w:rsid w:val="00015D4C"/>
    <w:rsid w:val="0001774E"/>
    <w:rsid w:val="00024A2E"/>
    <w:rsid w:val="000267A9"/>
    <w:rsid w:val="00031EDD"/>
    <w:rsid w:val="00054AFB"/>
    <w:rsid w:val="00057A66"/>
    <w:rsid w:val="000645E6"/>
    <w:rsid w:val="000823C1"/>
    <w:rsid w:val="0009132E"/>
    <w:rsid w:val="000A162B"/>
    <w:rsid w:val="000A64E0"/>
    <w:rsid w:val="000D0CA1"/>
    <w:rsid w:val="000F3E12"/>
    <w:rsid w:val="000F7E9B"/>
    <w:rsid w:val="00121727"/>
    <w:rsid w:val="001340F3"/>
    <w:rsid w:val="00161EEB"/>
    <w:rsid w:val="00176C19"/>
    <w:rsid w:val="0018393D"/>
    <w:rsid w:val="00184116"/>
    <w:rsid w:val="001A3B09"/>
    <w:rsid w:val="001B7411"/>
    <w:rsid w:val="001F62E6"/>
    <w:rsid w:val="00202BE8"/>
    <w:rsid w:val="00210D1F"/>
    <w:rsid w:val="00213BC1"/>
    <w:rsid w:val="00223416"/>
    <w:rsid w:val="00232E0C"/>
    <w:rsid w:val="00293D2A"/>
    <w:rsid w:val="002A1DF3"/>
    <w:rsid w:val="002B19A2"/>
    <w:rsid w:val="002B524E"/>
    <w:rsid w:val="002C1FFD"/>
    <w:rsid w:val="002C2C4A"/>
    <w:rsid w:val="002C7F44"/>
    <w:rsid w:val="002D14B4"/>
    <w:rsid w:val="002E2570"/>
    <w:rsid w:val="002F19BD"/>
    <w:rsid w:val="0030463D"/>
    <w:rsid w:val="003058C2"/>
    <w:rsid w:val="003120B2"/>
    <w:rsid w:val="00322B4B"/>
    <w:rsid w:val="00323DE9"/>
    <w:rsid w:val="0034312A"/>
    <w:rsid w:val="00354C2F"/>
    <w:rsid w:val="0037706E"/>
    <w:rsid w:val="0039381B"/>
    <w:rsid w:val="003C3BFA"/>
    <w:rsid w:val="003D3984"/>
    <w:rsid w:val="003E4064"/>
    <w:rsid w:val="004339CA"/>
    <w:rsid w:val="00434460"/>
    <w:rsid w:val="00437D37"/>
    <w:rsid w:val="00441F3C"/>
    <w:rsid w:val="0045401C"/>
    <w:rsid w:val="004619A2"/>
    <w:rsid w:val="004779E1"/>
    <w:rsid w:val="00480618"/>
    <w:rsid w:val="0049647A"/>
    <w:rsid w:val="004A1DE7"/>
    <w:rsid w:val="004A2AD4"/>
    <w:rsid w:val="004A3FC7"/>
    <w:rsid w:val="004B5512"/>
    <w:rsid w:val="004B679D"/>
    <w:rsid w:val="004E32F5"/>
    <w:rsid w:val="00503E14"/>
    <w:rsid w:val="00510112"/>
    <w:rsid w:val="00533E71"/>
    <w:rsid w:val="00536A6B"/>
    <w:rsid w:val="00550C26"/>
    <w:rsid w:val="00552149"/>
    <w:rsid w:val="005767D9"/>
    <w:rsid w:val="00592692"/>
    <w:rsid w:val="005972B4"/>
    <w:rsid w:val="005A45D7"/>
    <w:rsid w:val="005D1DB9"/>
    <w:rsid w:val="00600232"/>
    <w:rsid w:val="00614998"/>
    <w:rsid w:val="006322AB"/>
    <w:rsid w:val="00633D49"/>
    <w:rsid w:val="006517C6"/>
    <w:rsid w:val="00661714"/>
    <w:rsid w:val="0066488B"/>
    <w:rsid w:val="00695B5E"/>
    <w:rsid w:val="006C2FB4"/>
    <w:rsid w:val="006C620B"/>
    <w:rsid w:val="007045DB"/>
    <w:rsid w:val="007142D6"/>
    <w:rsid w:val="00716D34"/>
    <w:rsid w:val="007260A3"/>
    <w:rsid w:val="00736F64"/>
    <w:rsid w:val="00766EFE"/>
    <w:rsid w:val="00793DD1"/>
    <w:rsid w:val="007D32C8"/>
    <w:rsid w:val="007D5F6B"/>
    <w:rsid w:val="007E5E4E"/>
    <w:rsid w:val="007F3AC1"/>
    <w:rsid w:val="00807F3F"/>
    <w:rsid w:val="00820372"/>
    <w:rsid w:val="008315DB"/>
    <w:rsid w:val="008364E3"/>
    <w:rsid w:val="00880B72"/>
    <w:rsid w:val="0088235B"/>
    <w:rsid w:val="00895D7F"/>
    <w:rsid w:val="008B14BD"/>
    <w:rsid w:val="008C2081"/>
    <w:rsid w:val="008D5CAB"/>
    <w:rsid w:val="008D76C3"/>
    <w:rsid w:val="008F21CA"/>
    <w:rsid w:val="00910AF4"/>
    <w:rsid w:val="00934864"/>
    <w:rsid w:val="00940019"/>
    <w:rsid w:val="00941DF0"/>
    <w:rsid w:val="0095127D"/>
    <w:rsid w:val="00953B8D"/>
    <w:rsid w:val="00953CD6"/>
    <w:rsid w:val="00962127"/>
    <w:rsid w:val="00974F67"/>
    <w:rsid w:val="00983563"/>
    <w:rsid w:val="0099034B"/>
    <w:rsid w:val="009B3BAF"/>
    <w:rsid w:val="009C3754"/>
    <w:rsid w:val="009C60D6"/>
    <w:rsid w:val="00A06B14"/>
    <w:rsid w:val="00A15B2E"/>
    <w:rsid w:val="00A273F3"/>
    <w:rsid w:val="00A325BE"/>
    <w:rsid w:val="00A45E37"/>
    <w:rsid w:val="00A47A7B"/>
    <w:rsid w:val="00A50A48"/>
    <w:rsid w:val="00A639CD"/>
    <w:rsid w:val="00A6570D"/>
    <w:rsid w:val="00A778F7"/>
    <w:rsid w:val="00A869DA"/>
    <w:rsid w:val="00AB2BDC"/>
    <w:rsid w:val="00AB57DE"/>
    <w:rsid w:val="00AC6E07"/>
    <w:rsid w:val="00AC7CFA"/>
    <w:rsid w:val="00AD3D57"/>
    <w:rsid w:val="00AE555E"/>
    <w:rsid w:val="00B11256"/>
    <w:rsid w:val="00B20ADA"/>
    <w:rsid w:val="00B45E71"/>
    <w:rsid w:val="00B53B26"/>
    <w:rsid w:val="00B56289"/>
    <w:rsid w:val="00B566A4"/>
    <w:rsid w:val="00B85B79"/>
    <w:rsid w:val="00BF405D"/>
    <w:rsid w:val="00BF627A"/>
    <w:rsid w:val="00C07A07"/>
    <w:rsid w:val="00C162C4"/>
    <w:rsid w:val="00C214A5"/>
    <w:rsid w:val="00C47672"/>
    <w:rsid w:val="00C60F54"/>
    <w:rsid w:val="00C67F94"/>
    <w:rsid w:val="00C93127"/>
    <w:rsid w:val="00C95D5A"/>
    <w:rsid w:val="00CB1EA2"/>
    <w:rsid w:val="00CB7846"/>
    <w:rsid w:val="00CD0C4E"/>
    <w:rsid w:val="00CE692E"/>
    <w:rsid w:val="00D15ED8"/>
    <w:rsid w:val="00D4784D"/>
    <w:rsid w:val="00D47B0A"/>
    <w:rsid w:val="00D52739"/>
    <w:rsid w:val="00D735D6"/>
    <w:rsid w:val="00D834AC"/>
    <w:rsid w:val="00D93F37"/>
    <w:rsid w:val="00DB3A88"/>
    <w:rsid w:val="00DB400A"/>
    <w:rsid w:val="00DB512F"/>
    <w:rsid w:val="00DC61A6"/>
    <w:rsid w:val="00DE4185"/>
    <w:rsid w:val="00DF11FB"/>
    <w:rsid w:val="00DF68C2"/>
    <w:rsid w:val="00E16287"/>
    <w:rsid w:val="00E3153D"/>
    <w:rsid w:val="00E367AA"/>
    <w:rsid w:val="00E5007C"/>
    <w:rsid w:val="00E509AE"/>
    <w:rsid w:val="00E575A2"/>
    <w:rsid w:val="00E620E2"/>
    <w:rsid w:val="00E63538"/>
    <w:rsid w:val="00E71932"/>
    <w:rsid w:val="00E83C72"/>
    <w:rsid w:val="00EA2240"/>
    <w:rsid w:val="00ED2267"/>
    <w:rsid w:val="00EF269A"/>
    <w:rsid w:val="00EF3B1F"/>
    <w:rsid w:val="00F04A66"/>
    <w:rsid w:val="00F214E5"/>
    <w:rsid w:val="00F31804"/>
    <w:rsid w:val="00F408E3"/>
    <w:rsid w:val="00F52044"/>
    <w:rsid w:val="00F61937"/>
    <w:rsid w:val="00F64A94"/>
    <w:rsid w:val="00F92308"/>
    <w:rsid w:val="00FB199A"/>
    <w:rsid w:val="00FD2DEF"/>
    <w:rsid w:val="00FE34EB"/>
    <w:rsid w:val="00FE4D38"/>
    <w:rsid w:val="00FF1235"/>
    <w:rsid w:val="01B56F63"/>
    <w:rsid w:val="01F41696"/>
    <w:rsid w:val="02BF4CBD"/>
    <w:rsid w:val="02FF7D86"/>
    <w:rsid w:val="03042777"/>
    <w:rsid w:val="03916026"/>
    <w:rsid w:val="03AE7DA1"/>
    <w:rsid w:val="044B1317"/>
    <w:rsid w:val="05327567"/>
    <w:rsid w:val="06F75312"/>
    <w:rsid w:val="0754043A"/>
    <w:rsid w:val="08F90126"/>
    <w:rsid w:val="0A662FE1"/>
    <w:rsid w:val="0ACB7BEE"/>
    <w:rsid w:val="0B2343D2"/>
    <w:rsid w:val="0C7406D4"/>
    <w:rsid w:val="0CDC7D27"/>
    <w:rsid w:val="0D32117F"/>
    <w:rsid w:val="0D8B5A6F"/>
    <w:rsid w:val="0DC57363"/>
    <w:rsid w:val="0ED04F2B"/>
    <w:rsid w:val="10F5190F"/>
    <w:rsid w:val="11E55EEE"/>
    <w:rsid w:val="124E68E3"/>
    <w:rsid w:val="14660D3F"/>
    <w:rsid w:val="14FC4892"/>
    <w:rsid w:val="15B21D33"/>
    <w:rsid w:val="18B82DEB"/>
    <w:rsid w:val="191B2CC4"/>
    <w:rsid w:val="19987E65"/>
    <w:rsid w:val="1A002796"/>
    <w:rsid w:val="1A060F78"/>
    <w:rsid w:val="1A996B45"/>
    <w:rsid w:val="1C3B576B"/>
    <w:rsid w:val="1C7768CA"/>
    <w:rsid w:val="1D683108"/>
    <w:rsid w:val="1DAE760E"/>
    <w:rsid w:val="1E016FCE"/>
    <w:rsid w:val="1E754C27"/>
    <w:rsid w:val="1F8455BA"/>
    <w:rsid w:val="1F8A3C60"/>
    <w:rsid w:val="20092D00"/>
    <w:rsid w:val="21080B00"/>
    <w:rsid w:val="230C4F5B"/>
    <w:rsid w:val="25A20D2F"/>
    <w:rsid w:val="26B40692"/>
    <w:rsid w:val="270428B2"/>
    <w:rsid w:val="27D66D61"/>
    <w:rsid w:val="28825699"/>
    <w:rsid w:val="2AD6228F"/>
    <w:rsid w:val="2C0A588F"/>
    <w:rsid w:val="2C0F4E8A"/>
    <w:rsid w:val="2DE97634"/>
    <w:rsid w:val="2E5E04C5"/>
    <w:rsid w:val="306102E5"/>
    <w:rsid w:val="30F65A86"/>
    <w:rsid w:val="31B84826"/>
    <w:rsid w:val="32496F6D"/>
    <w:rsid w:val="32F54027"/>
    <w:rsid w:val="34671A0A"/>
    <w:rsid w:val="3489129D"/>
    <w:rsid w:val="35672391"/>
    <w:rsid w:val="36AE65B3"/>
    <w:rsid w:val="37552717"/>
    <w:rsid w:val="38BB3DAB"/>
    <w:rsid w:val="391A6870"/>
    <w:rsid w:val="3A0068DF"/>
    <w:rsid w:val="3A907C82"/>
    <w:rsid w:val="3B350549"/>
    <w:rsid w:val="3B6951FF"/>
    <w:rsid w:val="3B825F08"/>
    <w:rsid w:val="3C4B67FD"/>
    <w:rsid w:val="3C8E1657"/>
    <w:rsid w:val="3D0D680A"/>
    <w:rsid w:val="3E2430C8"/>
    <w:rsid w:val="3E5B6592"/>
    <w:rsid w:val="3EAC0AD6"/>
    <w:rsid w:val="3ED5367A"/>
    <w:rsid w:val="3F0E4DE8"/>
    <w:rsid w:val="3FF031CA"/>
    <w:rsid w:val="40F54D72"/>
    <w:rsid w:val="410D2716"/>
    <w:rsid w:val="416A5BA0"/>
    <w:rsid w:val="41B1546A"/>
    <w:rsid w:val="420A229E"/>
    <w:rsid w:val="42345198"/>
    <w:rsid w:val="42547E73"/>
    <w:rsid w:val="444A01BA"/>
    <w:rsid w:val="44550193"/>
    <w:rsid w:val="44A748C3"/>
    <w:rsid w:val="44F0161E"/>
    <w:rsid w:val="455F7A12"/>
    <w:rsid w:val="45BA48D0"/>
    <w:rsid w:val="465C2913"/>
    <w:rsid w:val="467D4E4A"/>
    <w:rsid w:val="47C639DF"/>
    <w:rsid w:val="47FA779F"/>
    <w:rsid w:val="482C48E7"/>
    <w:rsid w:val="48D120DD"/>
    <w:rsid w:val="49477F1B"/>
    <w:rsid w:val="49CC53F7"/>
    <w:rsid w:val="49D36A46"/>
    <w:rsid w:val="49D7308C"/>
    <w:rsid w:val="4A19377C"/>
    <w:rsid w:val="4A1E0A94"/>
    <w:rsid w:val="4A682559"/>
    <w:rsid w:val="4A746517"/>
    <w:rsid w:val="4B7F64B0"/>
    <w:rsid w:val="4C4E364E"/>
    <w:rsid w:val="4CD1207A"/>
    <w:rsid w:val="4CDC5A0B"/>
    <w:rsid w:val="4CF2112E"/>
    <w:rsid w:val="4D38365E"/>
    <w:rsid w:val="4D5F37D8"/>
    <w:rsid w:val="50C371C8"/>
    <w:rsid w:val="51AC1211"/>
    <w:rsid w:val="52057CFE"/>
    <w:rsid w:val="535748A2"/>
    <w:rsid w:val="55B95D9F"/>
    <w:rsid w:val="55EB1602"/>
    <w:rsid w:val="56921DD8"/>
    <w:rsid w:val="57251A9A"/>
    <w:rsid w:val="57B871AF"/>
    <w:rsid w:val="57C91484"/>
    <w:rsid w:val="58171C98"/>
    <w:rsid w:val="58931E5A"/>
    <w:rsid w:val="589430A3"/>
    <w:rsid w:val="59533115"/>
    <w:rsid w:val="5BD0498D"/>
    <w:rsid w:val="5C266AD3"/>
    <w:rsid w:val="5DA96B02"/>
    <w:rsid w:val="5F7222DA"/>
    <w:rsid w:val="5FB1216A"/>
    <w:rsid w:val="61003AD4"/>
    <w:rsid w:val="61C51C62"/>
    <w:rsid w:val="62543B84"/>
    <w:rsid w:val="629E3C63"/>
    <w:rsid w:val="62AB466D"/>
    <w:rsid w:val="64716432"/>
    <w:rsid w:val="64DD2B84"/>
    <w:rsid w:val="64FD617C"/>
    <w:rsid w:val="661D4012"/>
    <w:rsid w:val="67072FFE"/>
    <w:rsid w:val="67961866"/>
    <w:rsid w:val="67A66FD3"/>
    <w:rsid w:val="6A32171C"/>
    <w:rsid w:val="6AD8503D"/>
    <w:rsid w:val="6C656874"/>
    <w:rsid w:val="6C953BFD"/>
    <w:rsid w:val="6E5433EB"/>
    <w:rsid w:val="6EA45E80"/>
    <w:rsid w:val="6ED63249"/>
    <w:rsid w:val="6FF355A5"/>
    <w:rsid w:val="708960C0"/>
    <w:rsid w:val="70E626D2"/>
    <w:rsid w:val="7240532E"/>
    <w:rsid w:val="72DB1AC3"/>
    <w:rsid w:val="736A3479"/>
    <w:rsid w:val="74007E1B"/>
    <w:rsid w:val="742A108F"/>
    <w:rsid w:val="74381271"/>
    <w:rsid w:val="756133A9"/>
    <w:rsid w:val="76CF5C1F"/>
    <w:rsid w:val="772E36A6"/>
    <w:rsid w:val="77AB0304"/>
    <w:rsid w:val="789326B8"/>
    <w:rsid w:val="790166DA"/>
    <w:rsid w:val="79812A12"/>
    <w:rsid w:val="7A0E519A"/>
    <w:rsid w:val="7AF30AA0"/>
    <w:rsid w:val="7C9953CF"/>
    <w:rsid w:val="7D7E1462"/>
    <w:rsid w:val="7D8647A5"/>
    <w:rsid w:val="7E0911E8"/>
    <w:rsid w:val="7E356126"/>
    <w:rsid w:val="7EF05417"/>
    <w:rsid w:val="7EFF7A2D"/>
    <w:rsid w:val="7F2023DE"/>
    <w:rsid w:val="7F3A5AB9"/>
    <w:rsid w:val="7F7B5EEA"/>
    <w:rsid w:val="7F925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character" w:styleId="15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6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5"/>
    <w:qFormat/>
    <w:uiPriority w:val="99"/>
    <w:rPr>
      <w:sz w:val="18"/>
      <w:szCs w:val="18"/>
    </w:rPr>
  </w:style>
  <w:style w:type="table" w:customStyle="1" w:styleId="18">
    <w:name w:val="网格型1"/>
    <w:basedOn w:val="10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20">
    <w:name w:val="批注文字 Char"/>
    <w:basedOn w:val="12"/>
    <w:link w:val="3"/>
    <w:semiHidden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CBB45-9C8F-48E5-A306-0151838B28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42</Pages>
  <Words>3421</Words>
  <Characters>19500</Characters>
  <Lines>162</Lines>
  <Paragraphs>45</Paragraphs>
  <TotalTime>1</TotalTime>
  <ScaleCrop>false</ScaleCrop>
  <LinksUpToDate>false</LinksUpToDate>
  <CharactersWithSpaces>22876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2020-10-27T01:54:00Z</dcterms:created>
  <dc:creator>汪明</dc:creator>
  <cp:lastModifiedBy>SHM</cp:lastModifiedBy>
  <cp:lastPrinted>2020-08-04T06:31:00Z</cp:lastPrinted>
  <dcterms:modified xsi:type="dcterms:W3CDTF">2022-09-02T03:22:36Z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013A57552AA6463188EA11E833109E99</vt:lpwstr>
  </property>
</Properties>
</file>