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600" w:lineRule="exact"/>
        <w:jc w:val="left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28"/>
          <w:szCs w:val="28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spacing w:before="156" w:beforeLines="50"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</w:p>
    <w:p>
      <w:pPr>
        <w:spacing w:before="156" w:beforeLines="50"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</w:p>
    <w:p>
      <w:pPr>
        <w:spacing w:before="156" w:beforeLines="50" w:line="60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</w:rPr>
        <w:t>甘肃省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  <w:lang w:val="en-US" w:eastAsia="zh-CN"/>
        </w:rPr>
        <w:t>高水平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  <w:lang w:eastAsia="zh-CN"/>
        </w:rPr>
        <w:t>新农科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</w:rPr>
        <w:t>示范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  <w:lang w:eastAsia="zh-CN"/>
        </w:rPr>
        <w:t>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</w:rPr>
        <w:t>校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48"/>
        </w:rPr>
        <w:t>申 报 书</w:t>
      </w:r>
    </w:p>
    <w:p>
      <w:pPr>
        <w:spacing w:before="156" w:beforeLines="50"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</w:p>
    <w:p>
      <w:pPr>
        <w:spacing w:before="156" w:beforeLines="50"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</w:p>
    <w:tbl>
      <w:tblPr>
        <w:tblStyle w:val="5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240"/>
        <w:gridCol w:w="4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33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学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 xml:space="preserve"> 校 名 称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33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责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部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门：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33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责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人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36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33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联 系 电 话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733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填 表 日 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36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>
      <w:pPr>
        <w:rPr>
          <w:rFonts w:ascii="宋体" w:hAnsi="宋体"/>
          <w:b/>
          <w:bCs/>
          <w:color w:val="auto"/>
          <w:sz w:val="32"/>
          <w:szCs w:val="32"/>
        </w:rPr>
      </w:pPr>
    </w:p>
    <w:p>
      <w:pPr>
        <w:rPr>
          <w:rFonts w:ascii="宋体" w:hAnsi="宋体"/>
          <w:b/>
          <w:bCs/>
          <w:color w:val="auto"/>
          <w:sz w:val="32"/>
          <w:szCs w:val="32"/>
        </w:rPr>
      </w:pPr>
    </w:p>
    <w:p>
      <w:pPr>
        <w:jc w:val="center"/>
        <w:rPr>
          <w:rFonts w:ascii="黑体" w:hAnsi="黑体" w:eastAsia="黑体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</w:rPr>
        <w:t>甘肃省教育厅制</w:t>
      </w:r>
    </w:p>
    <w:p>
      <w:pPr>
        <w:snapToGrid w:val="0"/>
        <w:spacing w:line="240" w:lineRule="atLeast"/>
        <w:jc w:val="center"/>
        <w:rPr>
          <w:rFonts w:eastAsia="楷体_GB2312"/>
          <w:sz w:val="32"/>
        </w:rPr>
      </w:pPr>
      <w:r>
        <w:rPr>
          <w:rFonts w:hint="eastAsia" w:eastAsia="楷体_GB2312"/>
          <w:sz w:val="32"/>
        </w:rPr>
        <w:t>二〇二三年</w:t>
      </w:r>
      <w:r>
        <w:rPr>
          <w:rFonts w:hint="eastAsia" w:eastAsia="楷体_GB2312"/>
          <w:sz w:val="32"/>
          <w:lang w:eastAsia="zh-CN"/>
        </w:rPr>
        <w:t>十一</w:t>
      </w:r>
      <w:r>
        <w:rPr>
          <w:rFonts w:hint="eastAsia" w:eastAsia="楷体_GB2312"/>
          <w:sz w:val="32"/>
        </w:rPr>
        <w:t>月</w:t>
      </w:r>
    </w:p>
    <w:p>
      <w:pPr>
        <w:widowControl/>
        <w:jc w:val="center"/>
        <w:rPr>
          <w:rFonts w:ascii="方正小标宋简体" w:eastAsia="方正小标宋简体"/>
          <w:color w:val="auto"/>
          <w:sz w:val="32"/>
          <w:szCs w:val="32"/>
        </w:rPr>
      </w:pP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填 报 说 明</w:t>
      </w: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red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.相关奖励、荣誉成果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仅填写近五年内，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截止时间为2023年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月30日。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表中各项内容用“小四”号仿宋字体填写，单倍行距，排版务求整洁清晰、页码连贯。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申报书内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填写的内容，所在学校负责审核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所填内容必须真实、可靠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如发现虚假信息，将取消该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参评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申请书为A4幅面，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双面打印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于左侧装订。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5.所有签字务必手写签名，不得用打印或印刷字体代替。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各级单位意见务必加盖公章，否则推荐无效。</w:t>
      </w:r>
    </w:p>
    <w:p>
      <w:pPr>
        <w:spacing w:line="560" w:lineRule="exact"/>
        <w:rPr>
          <w:rFonts w:eastAsia="黑体"/>
          <w:sz w:val="24"/>
          <w:szCs w:val="24"/>
        </w:rPr>
        <w:sectPr>
          <w:footerReference r:id="rId3" w:type="default"/>
          <w:footerReference r:id="rId4" w:type="even"/>
          <w:pgSz w:w="11906" w:h="16838"/>
          <w:pgMar w:top="2098" w:right="1531" w:bottom="1701" w:left="1531" w:header="851" w:footer="1134" w:gutter="0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</w:rPr>
        <w:t>基本情况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1342"/>
        <w:gridCol w:w="1463"/>
        <w:gridCol w:w="590"/>
        <w:gridCol w:w="712"/>
        <w:gridCol w:w="850"/>
        <w:gridCol w:w="541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高校名称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在校学生总数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生师比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学科门类数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专业总数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农学专业数量</w:t>
            </w:r>
          </w:p>
        </w:tc>
        <w:tc>
          <w:tcPr>
            <w:tcW w:w="339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新农科专业数量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专任教师总数</w:t>
            </w:r>
          </w:p>
        </w:tc>
        <w:tc>
          <w:tcPr>
            <w:tcW w:w="1342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副教授及以上职称教师占比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具有硕、博士学位教师占比</w:t>
            </w:r>
          </w:p>
        </w:tc>
        <w:tc>
          <w:tcPr>
            <w:tcW w:w="1351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办学定位</w:t>
            </w:r>
          </w:p>
        </w:tc>
        <w:tc>
          <w:tcPr>
            <w:tcW w:w="6849" w:type="dxa"/>
            <w:gridSpan w:val="7"/>
            <w:vAlign w:val="top"/>
          </w:tcPr>
          <w:p>
            <w:pPr>
              <w:spacing w:line="340" w:lineRule="exact"/>
              <w:jc w:val="both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（描述高校的办学定位和人才培养目标。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00字以内）</w:t>
            </w:r>
          </w:p>
          <w:p>
            <w:pPr>
              <w:snapToGrid w:val="0"/>
              <w:spacing w:line="34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3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特色发展</w:t>
            </w:r>
          </w:p>
        </w:tc>
        <w:tc>
          <w:tcPr>
            <w:tcW w:w="6849" w:type="dxa"/>
            <w:gridSpan w:val="7"/>
            <w:vAlign w:val="top"/>
          </w:tcPr>
          <w:p>
            <w:pPr>
              <w:spacing w:line="340" w:lineRule="exact"/>
              <w:jc w:val="both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（描述高校特色发展情况及取得的成果。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00字以内）</w:t>
            </w:r>
          </w:p>
          <w:p>
            <w:pPr>
              <w:snapToGrid w:val="0"/>
              <w:spacing w:line="34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color w:val="auto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组织实施体系</w:t>
      </w:r>
    </w:p>
    <w:tbl>
      <w:tblPr>
        <w:tblStyle w:val="6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16" w:type="dxa"/>
            <w:gridSpan w:val="11"/>
            <w:vAlign w:val="center"/>
          </w:tcPr>
          <w:p>
            <w:pPr>
              <w:spacing w:line="340" w:lineRule="atLeas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</w:rPr>
              <w:t xml:space="preserve">2.1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新农科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建设负责人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出生年月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手机号码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电子邮箱</w:t>
            </w:r>
          </w:p>
        </w:tc>
        <w:tc>
          <w:tcPr>
            <w:tcW w:w="2517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主要职责及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新农科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建设研究情况</w:t>
            </w:r>
          </w:p>
        </w:tc>
        <w:tc>
          <w:tcPr>
            <w:tcW w:w="6986" w:type="dxa"/>
            <w:gridSpan w:val="9"/>
          </w:tcPr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（描述负责人的主要职责、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新农科建设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研究和理论研究情况。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获得的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新农科建设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相关奖励情况</w:t>
            </w:r>
          </w:p>
        </w:tc>
        <w:tc>
          <w:tcPr>
            <w:tcW w:w="6986" w:type="dxa"/>
            <w:gridSpan w:val="9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（描述负责人获得的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新农科建设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相关奖励情况。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16" w:type="dxa"/>
            <w:gridSpan w:val="11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</w:rPr>
              <w:t>2.2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新农科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建设管理队伍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9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职责任务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……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color w:val="auto"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新农科建设基本情况</w:t>
      </w:r>
    </w:p>
    <w:tbl>
      <w:tblPr>
        <w:tblStyle w:val="5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6"/>
        <w:gridCol w:w="1701"/>
        <w:gridCol w:w="1559"/>
        <w:gridCol w:w="1589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  <w:jc w:val="center"/>
        </w:trPr>
        <w:tc>
          <w:tcPr>
            <w:tcW w:w="8957" w:type="dxa"/>
            <w:gridSpan w:val="5"/>
            <w:shd w:val="clear" w:color="auto" w:fill="auto"/>
            <w:vAlign w:val="top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30"/>
                <w:lang w:val="en-US" w:eastAsia="zh-CN" w:bidi="mn-Mong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30"/>
                <w:lang w:val="en-US" w:eastAsia="zh-CN" w:bidi="mn-Mong-CN"/>
              </w:rPr>
              <w:t>3.1建设理念、目标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30"/>
                <w:lang w:val="en-US" w:eastAsia="zh-CN" w:bidi="mn-Mong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（描述高校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建设的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总体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理念、目标，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字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以内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30"/>
                <w:lang w:val="en-US" w:eastAsia="zh-CN" w:bidi="mn-Mong-CN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30"/>
                <w:lang w:val="en-US" w:eastAsia="zh-CN" w:bidi="mn-Mong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57" w:type="dxa"/>
            <w:gridSpan w:val="5"/>
            <w:shd w:val="clear" w:color="auto" w:fill="auto"/>
            <w:vAlign w:val="center"/>
          </w:tcPr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.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新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科专业设置和升级改造情况</w:t>
            </w:r>
            <w:r>
              <w:rPr>
                <w:rFonts w:hint="eastAsia" w:ascii="仿宋_GB2312" w:hAnsi="仿宋_GB2312" w:cs="仿宋_GB2312"/>
                <w:color w:val="auto"/>
              </w:rPr>
              <w:t>（填写表格，</w:t>
            </w:r>
            <w:r>
              <w:rPr>
                <w:rFonts w:hint="eastAsia" w:ascii="仿宋_GB2312" w:hAnsi="仿宋_GB2312" w:cs="仿宋_GB2312"/>
                <w:color w:val="auto"/>
                <w:lang w:eastAsia="zh-CN"/>
              </w:rPr>
              <w:t>逐个专业</w:t>
            </w:r>
            <w:r>
              <w:rPr>
                <w:rFonts w:hint="eastAsia" w:ascii="仿宋_GB2312" w:hAnsi="仿宋_GB2312" w:cs="仿宋_GB2312"/>
                <w:color w:val="auto"/>
              </w:rPr>
              <w:t>叙述新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科设置以及升级改造的理念、方法和途径，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10</w:t>
            </w:r>
            <w:r>
              <w:rPr>
                <w:rFonts w:ascii="仿宋_GB2312" w:hAnsi="仿宋_GB2312" w:cs="仿宋_GB2312"/>
                <w:color w:val="auto"/>
              </w:rPr>
              <w:t>00</w:t>
            </w:r>
            <w:r>
              <w:rPr>
                <w:rFonts w:hint="eastAsia" w:ascii="仿宋_GB2312" w:hAnsi="仿宋_GB2312" w:cs="仿宋_GB2312"/>
                <w:color w:val="auto"/>
              </w:rPr>
              <w:t>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instrText xml:space="preserve">eq \o\ac(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instrText xml:space="preserve">,1)</w:instrTex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传统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 xml:space="preserve">科的改造升级专业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instrText xml:space="preserve">eq \o\ac(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instrText xml:space="preserve">,2)</w:instrTex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科与其他学科交叉融合的专业</w:t>
            </w:r>
          </w:p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  <w:sz w:val="30"/>
              </w:rPr>
            </w:pPr>
            <w:r>
              <w:rPr>
                <w:rFonts w:ascii="仿宋_GB2312" w:hAnsi="仿宋_GB2312" w:cs="仿宋_GB2312"/>
                <w:color w:val="auto"/>
              </w:rPr>
              <w:fldChar w:fldCharType="begin"/>
            </w:r>
            <w:r>
              <w:rPr>
                <w:rFonts w:ascii="仿宋_GB2312" w:hAnsi="仿宋_GB2312" w:cs="仿宋_GB2312"/>
                <w:color w:val="auto"/>
              </w:rPr>
              <w:instrText xml:space="preserve"> </w:instrText>
            </w:r>
            <w:r>
              <w:rPr>
                <w:rFonts w:hint="eastAsia" w:ascii="仿宋_GB2312" w:hAnsi="仿宋_GB2312" w:cs="仿宋_GB2312"/>
                <w:color w:val="auto"/>
              </w:rPr>
              <w:instrText xml:space="preserve">eq \o\ac(</w:instrText>
            </w:r>
            <w:r>
              <w:rPr>
                <w:rFonts w:hint="eastAsia" w:ascii="仿宋_GB2312" w:hAnsi="仿宋_GB2312" w:cs="仿宋_GB2312"/>
                <w:color w:val="auto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cs="仿宋_GB2312"/>
                <w:color w:val="auto"/>
              </w:rPr>
              <w:instrText xml:space="preserve">,3)</w:instrText>
            </w:r>
            <w:r>
              <w:rPr>
                <w:rFonts w:ascii="仿宋_GB2312" w:hAnsi="仿宋_GB2312" w:cs="仿宋_GB2312"/>
                <w:color w:val="auto"/>
              </w:rPr>
              <w:fldChar w:fldCharType="end"/>
            </w:r>
            <w:r>
              <w:rPr>
                <w:rFonts w:hint="eastAsia" w:ascii="仿宋_GB2312" w:hAnsi="仿宋_GB2312" w:cs="仿宋_GB2312"/>
                <w:color w:val="auto"/>
              </w:rPr>
              <w:t>面向新兴产业和新经济的新的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专业名称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color w:val="auto"/>
              </w:rPr>
              <w:t>新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科专业类型（填入序号）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color w:val="auto"/>
              </w:rPr>
              <w:t>专业创办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color w:val="auto"/>
              </w:rPr>
              <w:t>时间（年）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color w:val="auto"/>
              </w:rPr>
              <w:t>升级改造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color w:val="auto"/>
              </w:rPr>
              <w:t>时间（年）</w:t>
            </w: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lang w:eastAsia="zh-CN"/>
              </w:rPr>
              <w:t>学科融合情况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仿宋_GB2312" w:hAnsi="仿宋_GB2312" w:cs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5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8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3.3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新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科专业与学校办学定位以及行业、区域发展契合和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建设成效、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贡献情况</w:t>
            </w:r>
            <w:r>
              <w:rPr>
                <w:rFonts w:hint="eastAsia" w:ascii="仿宋_GB2312" w:hAnsi="仿宋_GB2312" w:cs="仿宋_GB2312"/>
                <w:color w:val="auto"/>
              </w:rPr>
              <w:t>（5</w:t>
            </w:r>
            <w:r>
              <w:rPr>
                <w:rFonts w:ascii="仿宋_GB2312" w:hAnsi="仿宋_GB2312" w:cs="仿宋_GB2312"/>
                <w:color w:val="auto"/>
              </w:rPr>
              <w:t>00</w:t>
            </w:r>
            <w:r>
              <w:rPr>
                <w:rFonts w:hint="eastAsia" w:ascii="仿宋_GB2312" w:hAnsi="仿宋_GB2312" w:cs="仿宋_GB2312"/>
                <w:color w:val="auto"/>
              </w:rPr>
              <w:t>字以内）</w:t>
            </w:r>
          </w:p>
          <w:p>
            <w:pPr>
              <w:pStyle w:val="4"/>
              <w:ind w:firstLine="0"/>
              <w:jc w:val="both"/>
              <w:rPr>
                <w:rFonts w:hint="eastAsia" w:ascii="仿宋_GB2312" w:hAnsi="仿宋_GB2312" w:eastAsia="楷体_GB2312" w:cs="仿宋_GB2312"/>
                <w:color w:val="auto"/>
                <w:sz w:val="30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（描述建设经费、教学设施、专业培养方案、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农科专业占比、农科类一流本科专业占专业总数比例情况、新农科专业设置领域及专业点建设情况。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包含智慧教学设施建设情况，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专业、人才培养方案修订情况，教学指南建设情况等。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6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.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 xml:space="preserve"> 新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科课程建设及教学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研究与教学改革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创新情况</w:t>
            </w:r>
            <w:r>
              <w:rPr>
                <w:rFonts w:hint="eastAsia" w:ascii="仿宋_GB2312" w:hAnsi="仿宋_GB2312" w:cs="仿宋_GB2312"/>
                <w:color w:val="auto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8</w:t>
            </w:r>
            <w:r>
              <w:rPr>
                <w:rFonts w:ascii="仿宋_GB2312" w:hAnsi="仿宋_GB2312" w:cs="仿宋_GB2312"/>
                <w:color w:val="auto"/>
              </w:rPr>
              <w:t>00</w:t>
            </w:r>
            <w:r>
              <w:rPr>
                <w:rFonts w:hint="eastAsia" w:ascii="仿宋_GB2312" w:hAnsi="仿宋_GB2312" w:cs="仿宋_GB2312"/>
                <w:color w:val="auto"/>
              </w:rPr>
              <w:t>字以内）</w:t>
            </w:r>
          </w:p>
          <w:p>
            <w:pPr>
              <w:pStyle w:val="4"/>
              <w:ind w:firstLine="0"/>
              <w:jc w:val="both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（描述课程建设经费、建设成效、农科课程占比、农科类一流课程建设、获批情况、马工程教材使用情况等。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新农科建设研究与改革实践项目、新农科教学研究项目立项建设和获批情况；新农科建设教学成果奖获批情况；课程思政融入新农科专业教学情况等。）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9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3.5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 xml:space="preserve"> </w:t>
            </w:r>
            <w:r>
              <w:rPr>
                <w:rFonts w:hint="eastAsia" w:ascii="仿宋_GB2312" w:hAnsi="Times New Roman"/>
                <w:b/>
                <w:color w:val="auto"/>
                <w:szCs w:val="24"/>
              </w:rPr>
              <w:t>新</w:t>
            </w:r>
            <w:r>
              <w:rPr>
                <w:rFonts w:hint="eastAsia" w:ascii="仿宋_GB2312" w:hAnsi="Times New Roman"/>
                <w:b/>
                <w:color w:val="auto"/>
                <w:szCs w:val="24"/>
                <w:lang w:val="en-US" w:eastAsia="zh-CN"/>
              </w:rPr>
              <w:t>农</w:t>
            </w:r>
            <w:r>
              <w:rPr>
                <w:rFonts w:hint="eastAsia" w:ascii="仿宋_GB2312" w:hAnsi="Times New Roman"/>
                <w:b/>
                <w:color w:val="auto"/>
                <w:szCs w:val="24"/>
              </w:rPr>
              <w:t>科校企协同育人及实践平台（实验室、实习基地等）建设方面开展的主要工作和取得的主要成效</w:t>
            </w:r>
            <w:r>
              <w:rPr>
                <w:rFonts w:hint="eastAsia" w:ascii="仿宋_GB2312" w:hAnsi="仿宋_GB2312" w:cs="仿宋_GB2312"/>
                <w:color w:val="auto"/>
              </w:rPr>
              <w:t>（</w:t>
            </w:r>
            <w:r>
              <w:rPr>
                <w:rFonts w:ascii="仿宋_GB2312" w:hAnsi="仿宋_GB2312" w:cs="仿宋_GB2312"/>
                <w:color w:val="auto"/>
              </w:rPr>
              <w:t>800</w:t>
            </w:r>
            <w:r>
              <w:rPr>
                <w:rFonts w:hint="eastAsia" w:ascii="仿宋_GB2312" w:hAnsi="仿宋_GB2312" w:cs="仿宋_GB2312"/>
                <w:color w:val="auto"/>
              </w:rPr>
              <w:t>字以内）</w:t>
            </w:r>
          </w:p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b/>
                <w:bCs/>
                <w:color w:val="auto"/>
              </w:rPr>
            </w:pPr>
          </w:p>
          <w:p>
            <w:pPr>
              <w:pStyle w:val="4"/>
              <w:ind w:firstLine="0"/>
              <w:jc w:val="both"/>
              <w:rPr>
                <w:rFonts w:hint="eastAsia" w:ascii="仿宋_GB2312" w:hAnsi="仿宋_GB2312" w:cs="仿宋_GB2312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9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4"/>
              <w:ind w:firstLine="0"/>
              <w:jc w:val="both"/>
              <w:rPr>
                <w:rFonts w:hint="eastAsia" w:ascii="仿宋_GB2312" w:hAnsi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/>
                <w:b/>
                <w:color w:val="auto"/>
                <w:szCs w:val="24"/>
                <w:lang w:val="en-US" w:eastAsia="zh-CN"/>
              </w:rPr>
              <w:t>3.6</w:t>
            </w:r>
            <w:r>
              <w:rPr>
                <w:rFonts w:hint="eastAsia" w:ascii="仿宋_GB2312" w:hAnsi="Times New Roman"/>
                <w:b/>
                <w:color w:val="auto"/>
                <w:szCs w:val="24"/>
              </w:rPr>
              <w:t>师资队伍情况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500字以内）</w:t>
            </w:r>
          </w:p>
          <w:p>
            <w:pPr>
              <w:pStyle w:val="4"/>
              <w:ind w:firstLine="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（描述课程团队、教学水平、教师发展与服务情况。包含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教学团队建设政策支持情况，教师参加校内外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建设交流、观摩和培训情况，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教学团队建设，教师参加新农科教学比赛等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开展情况等。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00字以内）</w:t>
            </w:r>
          </w:p>
        </w:tc>
      </w:tr>
    </w:tbl>
    <w:p>
      <w:pPr>
        <w:rPr>
          <w:color w:val="auto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color w:val="auto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支持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Hans"/>
        </w:rPr>
        <w:t>保障</w:t>
      </w:r>
    </w:p>
    <w:tbl>
      <w:tblPr>
        <w:tblStyle w:val="6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3" w:hRule="atLeast"/>
        </w:trPr>
        <w:tc>
          <w:tcPr>
            <w:tcW w:w="8760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4.1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政策方面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Hans"/>
              </w:rPr>
              <w:t>（描述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高校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建设配套的保障政策及实施情况等。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atLeast"/>
        </w:trPr>
        <w:tc>
          <w:tcPr>
            <w:tcW w:w="8760" w:type="dxa"/>
            <w:vAlign w:val="top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4.2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方面</w:t>
            </w: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Hans"/>
              </w:rPr>
              <w:t>（描述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支持高校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建设所给予的经费支持及其来源、使用情况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Hans"/>
              </w:rPr>
              <w:t>等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Hans" w:bidi="mn-Mong-CN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Hans" w:bidi="mn-Mong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5" w:hRule="atLeast"/>
        </w:trPr>
        <w:tc>
          <w:tcPr>
            <w:tcW w:w="8760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4.3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条件方面</w:t>
            </w: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Hans"/>
              </w:rPr>
              <w:t>描述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高校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建设的综合条件情况。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  <w:t>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黑体"/>
          <w:color w:val="auto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建设计划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22" w:type="dxa"/>
          </w:tcPr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.</w:t>
            </w:r>
            <w:r>
              <w:rPr>
                <w:rFonts w:ascii="仿宋_GB2312" w:hAnsi="仿宋_GB2312" w:cs="仿宋_GB2312"/>
                <w:b/>
                <w:bCs/>
                <w:color w:val="auto"/>
              </w:rPr>
              <w:t>1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建设预期成效</w:t>
            </w:r>
            <w:r>
              <w:rPr>
                <w:rFonts w:hint="eastAsia" w:ascii="仿宋_GB2312" w:hAnsi="仿宋_GB2312" w:cs="仿宋_GB2312"/>
                <w:color w:val="auto"/>
              </w:rPr>
              <w:t>（学校新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科建设预期成效，包括但不限于新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科示范专业、新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科示范课程、新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科理论研究等）</w:t>
            </w:r>
          </w:p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</w:p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</w:p>
          <w:p>
            <w:pPr>
              <w:spacing w:line="340" w:lineRule="exact"/>
              <w:rPr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22" w:type="dxa"/>
          </w:tcPr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.</w:t>
            </w:r>
            <w:r>
              <w:rPr>
                <w:rFonts w:ascii="仿宋_GB2312" w:hAnsi="仿宋_GB2312" w:cs="仿宋_GB2312"/>
                <w:b/>
                <w:bCs/>
                <w:color w:val="auto"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人才培养预期成效</w:t>
            </w:r>
            <w:r>
              <w:rPr>
                <w:rFonts w:hint="eastAsia" w:ascii="仿宋_GB2312" w:hAnsi="仿宋_GB2312" w:cs="仿宋_GB2312"/>
                <w:color w:val="auto"/>
              </w:rPr>
              <w:t>（包括新</w:t>
            </w:r>
            <w:r>
              <w:rPr>
                <w:rFonts w:hint="eastAsia" w:ascii="仿宋_GB2312" w:hAnsi="仿宋_GB2312" w:cs="仿宋_GB2312"/>
                <w:color w:val="auto"/>
                <w:lang w:val="en-US" w:eastAsia="zh-CN"/>
              </w:rPr>
              <w:t>农</w:t>
            </w:r>
            <w:r>
              <w:rPr>
                <w:rFonts w:hint="eastAsia" w:ascii="仿宋_GB2312" w:hAnsi="仿宋_GB2312" w:cs="仿宋_GB2312"/>
                <w:color w:val="auto"/>
              </w:rPr>
              <w:t>科人才培养数量、质量以及人才输送的主要行业渠道等）</w:t>
            </w: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8522" w:type="dxa"/>
          </w:tcPr>
          <w:p>
            <w:pPr>
              <w:pStyle w:val="4"/>
              <w:ind w:firstLine="0"/>
              <w:jc w:val="both"/>
              <w:rPr>
                <w:rFonts w:ascii="仿宋_GB2312" w:hAnsi="仿宋_GB2312" w:cs="仿宋_GB2312"/>
                <w:color w:val="auto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.</w:t>
            </w:r>
            <w:r>
              <w:rPr>
                <w:rFonts w:ascii="仿宋_GB2312" w:hAnsi="仿宋_GB2312" w:cs="仿宋_GB2312"/>
                <w:b/>
                <w:bCs/>
                <w:color w:val="auto"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</w:rPr>
              <w:t>示范推广</w:t>
            </w:r>
            <w:r>
              <w:rPr>
                <w:rFonts w:hint="eastAsia" w:ascii="仿宋_GB2312" w:hAnsi="仿宋_GB2312" w:cs="仿宋_GB2312"/>
                <w:color w:val="auto"/>
              </w:rPr>
              <w:t>（包括辐射带动本校及省内其他高校的示范应用、经验推广等）</w:t>
            </w: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9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/>
          <w:color w:val="auto"/>
          <w:sz w:val="24"/>
          <w:szCs w:val="24"/>
          <w:lang w:eastAsia="zh-CN"/>
        </w:rPr>
        <w:t>、</w:t>
      </w:r>
      <w:r>
        <w:rPr>
          <w:rFonts w:hint="eastAsia" w:ascii="黑体" w:hAnsi="黑体" w:eastAsia="黑体"/>
          <w:color w:val="auto"/>
          <w:sz w:val="24"/>
          <w:szCs w:val="24"/>
        </w:rPr>
        <w:t>申报单位意见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22" w:type="dxa"/>
          </w:tcPr>
          <w:p>
            <w:pPr>
              <w:spacing w:line="400" w:lineRule="exac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wordWrap/>
              <w:spacing w:line="400" w:lineRule="exact"/>
              <w:ind w:right="2520" w:rightChars="1200"/>
              <w:jc w:val="left"/>
              <w:rPr>
                <w:rFonts w:hint="default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both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 w:firstLine="720" w:firstLineChars="300"/>
              <w:jc w:val="both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负责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Hans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rPr>
          <w:color w:val="auto"/>
        </w:rPr>
      </w:pP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kern w:val="2"/>
          <w:sz w:val="24"/>
          <w:szCs w:val="24"/>
          <w:lang w:val="en-US" w:eastAsia="zh-CN" w:bidi="mn-Mong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mn-Mong-CN"/>
        </w:rPr>
        <w:t>七、支撑材料目录</w:t>
      </w: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（支撑材料单独装订成册）</w:t>
      </w:r>
    </w:p>
    <w:p>
      <w:pPr>
        <w:rPr>
          <w:color w:val="auto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楷体简体">
    <w:altName w:val="方正楷体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DAyN2I0ZTljMWFlMGY3YjVmYThiMWU2NDc0ODgifQ=="/>
  </w:docVars>
  <w:rsids>
    <w:rsidRoot w:val="62EA3369"/>
    <w:rsid w:val="00D015DB"/>
    <w:rsid w:val="02165083"/>
    <w:rsid w:val="02EF3634"/>
    <w:rsid w:val="03996F03"/>
    <w:rsid w:val="04E452F2"/>
    <w:rsid w:val="04E91D32"/>
    <w:rsid w:val="05DB68A2"/>
    <w:rsid w:val="065F0707"/>
    <w:rsid w:val="079F74A2"/>
    <w:rsid w:val="09384BC3"/>
    <w:rsid w:val="0ADD256F"/>
    <w:rsid w:val="0B862E38"/>
    <w:rsid w:val="0CFA042C"/>
    <w:rsid w:val="0D6C5258"/>
    <w:rsid w:val="0D782CFD"/>
    <w:rsid w:val="0DA40833"/>
    <w:rsid w:val="0FB57F1B"/>
    <w:rsid w:val="109E4C1F"/>
    <w:rsid w:val="115B2601"/>
    <w:rsid w:val="119537B7"/>
    <w:rsid w:val="11D73FDC"/>
    <w:rsid w:val="127D2D03"/>
    <w:rsid w:val="158E4705"/>
    <w:rsid w:val="19103E67"/>
    <w:rsid w:val="194D02B4"/>
    <w:rsid w:val="1AD4188E"/>
    <w:rsid w:val="1BB1100B"/>
    <w:rsid w:val="1D184AB8"/>
    <w:rsid w:val="1D3C08A8"/>
    <w:rsid w:val="1D9D4324"/>
    <w:rsid w:val="21010A5B"/>
    <w:rsid w:val="224F4FE6"/>
    <w:rsid w:val="227D70D8"/>
    <w:rsid w:val="23D647B8"/>
    <w:rsid w:val="242F2F1E"/>
    <w:rsid w:val="25182AB8"/>
    <w:rsid w:val="25B736FF"/>
    <w:rsid w:val="26270C9B"/>
    <w:rsid w:val="26BC2EB4"/>
    <w:rsid w:val="277443F5"/>
    <w:rsid w:val="29FC02B2"/>
    <w:rsid w:val="2B9123F3"/>
    <w:rsid w:val="2BCA7CBF"/>
    <w:rsid w:val="2BFB146E"/>
    <w:rsid w:val="2CC02A60"/>
    <w:rsid w:val="2D2E69F7"/>
    <w:rsid w:val="2D4D1FBB"/>
    <w:rsid w:val="2DDB009B"/>
    <w:rsid w:val="304C3CE9"/>
    <w:rsid w:val="30CA554C"/>
    <w:rsid w:val="31FB11E8"/>
    <w:rsid w:val="32792AA5"/>
    <w:rsid w:val="32805A12"/>
    <w:rsid w:val="3356504F"/>
    <w:rsid w:val="338411DE"/>
    <w:rsid w:val="33E510D9"/>
    <w:rsid w:val="340A4329"/>
    <w:rsid w:val="348259F1"/>
    <w:rsid w:val="35E92B57"/>
    <w:rsid w:val="370355E6"/>
    <w:rsid w:val="37D11CB0"/>
    <w:rsid w:val="38334A3E"/>
    <w:rsid w:val="38422875"/>
    <w:rsid w:val="38517906"/>
    <w:rsid w:val="399E3DDC"/>
    <w:rsid w:val="3B853BC3"/>
    <w:rsid w:val="3C0F7D53"/>
    <w:rsid w:val="3DAD0646"/>
    <w:rsid w:val="3E7145BB"/>
    <w:rsid w:val="3ECF3FFD"/>
    <w:rsid w:val="3EFA0112"/>
    <w:rsid w:val="41983505"/>
    <w:rsid w:val="42ED7C8A"/>
    <w:rsid w:val="433F2195"/>
    <w:rsid w:val="44955F98"/>
    <w:rsid w:val="46050D15"/>
    <w:rsid w:val="46287FCF"/>
    <w:rsid w:val="47125D63"/>
    <w:rsid w:val="481F71E5"/>
    <w:rsid w:val="483A4257"/>
    <w:rsid w:val="487221A9"/>
    <w:rsid w:val="4AEA22F7"/>
    <w:rsid w:val="4B0A0675"/>
    <w:rsid w:val="4B9E6609"/>
    <w:rsid w:val="4BA12A2A"/>
    <w:rsid w:val="4E0062C6"/>
    <w:rsid w:val="509E6D16"/>
    <w:rsid w:val="510B7101"/>
    <w:rsid w:val="52CA7F62"/>
    <w:rsid w:val="52F10F20"/>
    <w:rsid w:val="530E2257"/>
    <w:rsid w:val="53775317"/>
    <w:rsid w:val="540973BD"/>
    <w:rsid w:val="55023D48"/>
    <w:rsid w:val="55CD31E3"/>
    <w:rsid w:val="589C27F4"/>
    <w:rsid w:val="5AA639C8"/>
    <w:rsid w:val="5BD95896"/>
    <w:rsid w:val="5CAA3889"/>
    <w:rsid w:val="5CB46A97"/>
    <w:rsid w:val="5D4C482A"/>
    <w:rsid w:val="5D7D600C"/>
    <w:rsid w:val="5DFF09D8"/>
    <w:rsid w:val="5E04762F"/>
    <w:rsid w:val="5E8071CD"/>
    <w:rsid w:val="5EBA5088"/>
    <w:rsid w:val="5EFD3E47"/>
    <w:rsid w:val="5F2166DF"/>
    <w:rsid w:val="5F702204"/>
    <w:rsid w:val="5FA26A23"/>
    <w:rsid w:val="61C65EE9"/>
    <w:rsid w:val="62461911"/>
    <w:rsid w:val="62EA3369"/>
    <w:rsid w:val="65C8420B"/>
    <w:rsid w:val="660E60A4"/>
    <w:rsid w:val="67C31738"/>
    <w:rsid w:val="682D16EA"/>
    <w:rsid w:val="68593CC1"/>
    <w:rsid w:val="68E37727"/>
    <w:rsid w:val="6AEB67DF"/>
    <w:rsid w:val="6BEA0C8C"/>
    <w:rsid w:val="6BF48973"/>
    <w:rsid w:val="6CC77B4D"/>
    <w:rsid w:val="6F553719"/>
    <w:rsid w:val="6FFFC152"/>
    <w:rsid w:val="70197A95"/>
    <w:rsid w:val="70F630B0"/>
    <w:rsid w:val="71F96890"/>
    <w:rsid w:val="72CB7775"/>
    <w:rsid w:val="749C7300"/>
    <w:rsid w:val="763B4D76"/>
    <w:rsid w:val="77BF3699"/>
    <w:rsid w:val="786A2DC5"/>
    <w:rsid w:val="78B5953B"/>
    <w:rsid w:val="7A4C47CE"/>
    <w:rsid w:val="7B870CBB"/>
    <w:rsid w:val="7E2C7234"/>
    <w:rsid w:val="7E5F7FCA"/>
    <w:rsid w:val="7F33060D"/>
    <w:rsid w:val="7FC755B2"/>
    <w:rsid w:val="7FFD2EA8"/>
    <w:rsid w:val="9A4F6765"/>
    <w:rsid w:val="9FFFE901"/>
    <w:rsid w:val="DED15229"/>
    <w:rsid w:val="E77DE748"/>
    <w:rsid w:val="F3D4CEFB"/>
    <w:rsid w:val="FBFB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630" w:leftChars="300" w:right="590" w:rightChars="281"/>
    </w:pPr>
    <w:rPr>
      <w:rFonts w:ascii="方正楷体简体" w:eastAsia="方正楷体简体"/>
      <w:sz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1461</Words>
  <Characters>1530</Characters>
  <Lines>0</Lines>
  <Paragraphs>0</Paragraphs>
  <TotalTime>2</TotalTime>
  <ScaleCrop>false</ScaleCrop>
  <LinksUpToDate>false</LinksUpToDate>
  <CharactersWithSpaces>1715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2023-06-07T22:43:00Z</dcterms:created>
  <dc:creator>耿婵娟</dc:creator>
  <cp:lastModifiedBy>gsjyt001</cp:lastModifiedBy>
  <cp:lastPrinted>2023-12-22T16:04:00Z</cp:lastPrinted>
  <dcterms:modified xsi:type="dcterms:W3CDTF">2023-12-25T17:23:56Z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1722E1A36B6448DD855E0D07E9AFE6DE_11</vt:lpwstr>
  </property>
</Properties>
</file>